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803" w:rsidRDefault="00C21803" w:rsidP="00494E37">
      <w:pPr>
        <w:spacing w:line="276" w:lineRule="auto"/>
        <w:jc w:val="center"/>
        <w:rPr>
          <w:rFonts w:ascii="Cambria" w:hAnsi="Cambria"/>
          <w:b/>
          <w:sz w:val="24"/>
          <w:szCs w:val="24"/>
          <w:u w:val="single"/>
        </w:rPr>
      </w:pPr>
      <w:r>
        <w:rPr>
          <w:rFonts w:ascii="Cambria" w:hAnsi="Cambria"/>
          <w:b/>
          <w:sz w:val="24"/>
          <w:szCs w:val="24"/>
          <w:u w:val="single"/>
        </w:rPr>
        <w:t>PUBLIC INFORMATION: DECLARATION OF SMP AND WHAT IT MEANS</w:t>
      </w:r>
    </w:p>
    <w:p w:rsidR="00D006C8" w:rsidRDefault="00D006C8" w:rsidP="00D006C8">
      <w:pPr>
        <w:spacing w:line="360" w:lineRule="auto"/>
        <w:jc w:val="both"/>
        <w:rPr>
          <w:rFonts w:ascii="Cambria" w:hAnsi="Cambria"/>
          <w:sz w:val="24"/>
          <w:szCs w:val="24"/>
          <w:lang w:val="en-GB"/>
        </w:rPr>
      </w:pPr>
      <w:r>
        <w:rPr>
          <w:rFonts w:ascii="Cambria" w:hAnsi="Cambria"/>
          <w:sz w:val="24"/>
          <w:szCs w:val="24"/>
          <w:lang w:val="en-GB"/>
        </w:rPr>
        <w:t xml:space="preserve">The NCA notes with concern some issues on its declaration of MTN as a Significant Market Power (SMP) in Ghana’s telecommunication industry.  </w:t>
      </w:r>
    </w:p>
    <w:p w:rsidR="00D006C8" w:rsidRDefault="00D006C8" w:rsidP="00D006C8">
      <w:pPr>
        <w:spacing w:line="360" w:lineRule="auto"/>
        <w:jc w:val="both"/>
        <w:rPr>
          <w:rFonts w:ascii="Cambria" w:hAnsi="Cambria"/>
          <w:sz w:val="24"/>
          <w:szCs w:val="24"/>
        </w:rPr>
      </w:pPr>
      <w:r w:rsidRPr="007C2781">
        <w:rPr>
          <w:rFonts w:ascii="Cambria" w:hAnsi="Cambria"/>
          <w:sz w:val="24"/>
          <w:szCs w:val="24"/>
          <w:lang w:val="en-GB"/>
        </w:rPr>
        <w:t>The classification of MTN as an SMP is not a decision taken lightly or without</w:t>
      </w:r>
      <w:r>
        <w:rPr>
          <w:rFonts w:ascii="Cambria" w:hAnsi="Cambria"/>
          <w:sz w:val="24"/>
          <w:szCs w:val="24"/>
          <w:lang w:val="en-GB"/>
        </w:rPr>
        <w:t xml:space="preserve"> careful consideration. It </w:t>
      </w:r>
      <w:proofErr w:type="gramStart"/>
      <w:r>
        <w:rPr>
          <w:rFonts w:ascii="Cambria" w:hAnsi="Cambria"/>
          <w:sz w:val="24"/>
          <w:szCs w:val="24"/>
          <w:lang w:val="en-GB"/>
        </w:rPr>
        <w:t>was</w:t>
      </w:r>
      <w:r w:rsidRPr="007C2781">
        <w:rPr>
          <w:rFonts w:ascii="Cambria" w:hAnsi="Cambria"/>
          <w:sz w:val="24"/>
          <w:szCs w:val="24"/>
          <w:lang w:val="en-GB"/>
        </w:rPr>
        <w:t xml:space="preserve"> based</w:t>
      </w:r>
      <w:proofErr w:type="gramEnd"/>
      <w:r w:rsidRPr="007C2781">
        <w:rPr>
          <w:rFonts w:ascii="Cambria" w:hAnsi="Cambria"/>
          <w:sz w:val="24"/>
          <w:szCs w:val="24"/>
          <w:lang w:val="en-GB"/>
        </w:rPr>
        <w:t xml:space="preserve"> on extensive market research, analysis, and consultations. </w:t>
      </w:r>
      <w:r w:rsidRPr="007C2781">
        <w:rPr>
          <w:rFonts w:ascii="Cambria" w:hAnsi="Cambria"/>
          <w:sz w:val="24"/>
          <w:szCs w:val="24"/>
        </w:rPr>
        <w:t xml:space="preserve">The NCA, as the regulatory authority, </w:t>
      </w:r>
      <w:proofErr w:type="gramStart"/>
      <w:r w:rsidRPr="007C2781">
        <w:rPr>
          <w:rFonts w:ascii="Cambria" w:hAnsi="Cambria"/>
          <w:sz w:val="24"/>
          <w:szCs w:val="24"/>
        </w:rPr>
        <w:t>is entrusted</w:t>
      </w:r>
      <w:proofErr w:type="gramEnd"/>
      <w:r w:rsidRPr="007C2781">
        <w:rPr>
          <w:rFonts w:ascii="Cambria" w:hAnsi="Cambria"/>
          <w:sz w:val="24"/>
          <w:szCs w:val="24"/>
        </w:rPr>
        <w:t xml:space="preserve"> with the responsibility of upholding fair competition and safeguarding consumer interests within the telecommunications industry. The classification of MTN as an SMP aligns with the NCA's mission and fulfills its mandate.</w:t>
      </w:r>
    </w:p>
    <w:p w:rsidR="00D006C8" w:rsidRPr="007C2781" w:rsidRDefault="00D006C8" w:rsidP="00D006C8">
      <w:pPr>
        <w:spacing w:line="360" w:lineRule="auto"/>
        <w:jc w:val="both"/>
        <w:rPr>
          <w:rFonts w:ascii="Cambria" w:hAnsi="Cambria"/>
          <w:sz w:val="24"/>
          <w:szCs w:val="24"/>
          <w:lang w:val="en-GB"/>
        </w:rPr>
      </w:pPr>
      <w:r w:rsidRPr="007C2781">
        <w:rPr>
          <w:rFonts w:ascii="Cambria" w:hAnsi="Cambria"/>
          <w:sz w:val="24"/>
          <w:szCs w:val="24"/>
          <w:lang w:val="en-GB"/>
        </w:rPr>
        <w:t xml:space="preserve">The SMP classification </w:t>
      </w:r>
      <w:proofErr w:type="gramStart"/>
      <w:r w:rsidRPr="007C2781">
        <w:rPr>
          <w:rFonts w:ascii="Cambria" w:hAnsi="Cambria"/>
          <w:sz w:val="24"/>
          <w:szCs w:val="24"/>
          <w:lang w:val="en-GB"/>
        </w:rPr>
        <w:t>is not intended</w:t>
      </w:r>
      <w:proofErr w:type="gramEnd"/>
      <w:r w:rsidRPr="007C2781">
        <w:rPr>
          <w:rFonts w:ascii="Cambria" w:hAnsi="Cambria"/>
          <w:sz w:val="24"/>
          <w:szCs w:val="24"/>
          <w:lang w:val="en-GB"/>
        </w:rPr>
        <w:t xml:space="preserve"> to punish or stifle MTN's operations but rather to ensure a level playing field in the market and protect consumer choice. When an operator attains a significant market share and dominance, it has the potential to impact competition negatively, resulting in higher prices, lower quality of service, and reduced innovation. The SMP designation allows the NCA to impose certain regulations and measures on MTN to prevent abuse of its market power and ensure fair competition.</w:t>
      </w:r>
    </w:p>
    <w:p w:rsidR="00D006C8" w:rsidRPr="007C2781" w:rsidRDefault="00D006C8" w:rsidP="00D006C8">
      <w:pPr>
        <w:spacing w:line="360" w:lineRule="auto"/>
        <w:jc w:val="both"/>
        <w:rPr>
          <w:rFonts w:ascii="Cambria" w:hAnsi="Cambria"/>
          <w:sz w:val="24"/>
          <w:szCs w:val="24"/>
          <w:lang w:val="en-GB"/>
        </w:rPr>
      </w:pPr>
      <w:r w:rsidRPr="007C2781">
        <w:rPr>
          <w:rFonts w:ascii="Cambria" w:hAnsi="Cambria"/>
          <w:sz w:val="24"/>
          <w:szCs w:val="24"/>
          <w:lang w:val="en-GB"/>
        </w:rPr>
        <w:t>By implementing measures such as asymmetric interconnection rates, tariff parity, and technology neutrality, the NCA aims to promote competition, encourage innovation, and protect consumers' interests. These measures enable other operators to compete effectively, offer sustainable pricing, and invest in improving service quality.</w:t>
      </w:r>
    </w:p>
    <w:p w:rsidR="00D006C8" w:rsidRPr="007C2781" w:rsidRDefault="00D006C8" w:rsidP="00D006C8">
      <w:pPr>
        <w:spacing w:line="360" w:lineRule="auto"/>
        <w:jc w:val="both"/>
        <w:rPr>
          <w:rFonts w:ascii="Cambria" w:hAnsi="Cambria"/>
          <w:sz w:val="24"/>
          <w:szCs w:val="24"/>
          <w:lang w:val="en-GB"/>
        </w:rPr>
      </w:pPr>
      <w:r w:rsidRPr="007C2781">
        <w:rPr>
          <w:rFonts w:ascii="Cambria" w:hAnsi="Cambria"/>
          <w:sz w:val="24"/>
          <w:szCs w:val="24"/>
          <w:lang w:val="en-GB"/>
        </w:rPr>
        <w:t xml:space="preserve">It is important to note that the SMP classification does not prevent MTN from expanding or growing its business. The regulations imposed are designed to ensure a healthy and competitive market environment that benefits both consumers and industry players in the </w:t>
      </w:r>
      <w:proofErr w:type="gramStart"/>
      <w:r w:rsidRPr="007C2781">
        <w:rPr>
          <w:rFonts w:ascii="Cambria" w:hAnsi="Cambria"/>
          <w:sz w:val="24"/>
          <w:szCs w:val="24"/>
          <w:lang w:val="en-GB"/>
        </w:rPr>
        <w:t>long run</w:t>
      </w:r>
      <w:proofErr w:type="gramEnd"/>
      <w:r w:rsidRPr="007C2781">
        <w:rPr>
          <w:rFonts w:ascii="Cambria" w:hAnsi="Cambria"/>
          <w:sz w:val="24"/>
          <w:szCs w:val="24"/>
          <w:lang w:val="en-GB"/>
        </w:rPr>
        <w:t>.</w:t>
      </w:r>
    </w:p>
    <w:p w:rsidR="00D006C8" w:rsidRDefault="00D006C8" w:rsidP="00D006C8">
      <w:pPr>
        <w:spacing w:line="360" w:lineRule="auto"/>
        <w:jc w:val="both"/>
        <w:rPr>
          <w:rFonts w:ascii="Cambria" w:hAnsi="Cambria"/>
          <w:sz w:val="24"/>
          <w:szCs w:val="24"/>
          <w:lang w:val="en-GB"/>
        </w:rPr>
      </w:pPr>
      <w:r>
        <w:rPr>
          <w:rFonts w:ascii="Cambria" w:hAnsi="Cambria"/>
          <w:sz w:val="24"/>
          <w:szCs w:val="24"/>
          <w:lang w:val="en-GB"/>
        </w:rPr>
        <w:t xml:space="preserve">For </w:t>
      </w:r>
      <w:r w:rsidRPr="007C2781">
        <w:rPr>
          <w:rFonts w:ascii="Cambria" w:hAnsi="Cambria"/>
          <w:sz w:val="24"/>
          <w:szCs w:val="24"/>
          <w:lang w:val="en-GB"/>
        </w:rPr>
        <w:t>any further questions or concerns, please reach out</w:t>
      </w:r>
      <w:r>
        <w:rPr>
          <w:rFonts w:ascii="Cambria" w:hAnsi="Cambria"/>
          <w:sz w:val="24"/>
          <w:szCs w:val="24"/>
          <w:lang w:val="en-GB"/>
        </w:rPr>
        <w:t xml:space="preserve"> to the Authority via info@nca.org.gh</w:t>
      </w:r>
      <w:r w:rsidRPr="007C2781">
        <w:rPr>
          <w:rFonts w:ascii="Cambria" w:hAnsi="Cambria"/>
          <w:sz w:val="24"/>
          <w:szCs w:val="24"/>
          <w:lang w:val="en-GB"/>
        </w:rPr>
        <w:t xml:space="preserve">. </w:t>
      </w:r>
    </w:p>
    <w:p w:rsidR="00D006C8" w:rsidRPr="00D006C8" w:rsidRDefault="00D006C8" w:rsidP="00D006C8">
      <w:pPr>
        <w:pStyle w:val="ListParagraph"/>
        <w:spacing w:line="360" w:lineRule="auto"/>
        <w:jc w:val="center"/>
        <w:rPr>
          <w:rFonts w:ascii="Cambria" w:hAnsi="Cambria"/>
          <w:sz w:val="24"/>
          <w:szCs w:val="24"/>
          <w:lang w:val="en-GB"/>
        </w:rPr>
      </w:pPr>
      <w:r>
        <w:rPr>
          <w:rFonts w:ascii="Cambria" w:hAnsi="Cambria"/>
          <w:sz w:val="24"/>
          <w:szCs w:val="24"/>
          <w:lang w:val="en-GB"/>
        </w:rPr>
        <w:t>-END-</w:t>
      </w:r>
    </w:p>
    <w:p w:rsidR="00C21803" w:rsidRPr="000B4ABD" w:rsidRDefault="00C21803" w:rsidP="00C21803">
      <w:pPr>
        <w:spacing w:line="276" w:lineRule="auto"/>
        <w:jc w:val="both"/>
        <w:rPr>
          <w:rFonts w:ascii="Cambria" w:hAnsi="Cambria"/>
          <w:b/>
          <w:i/>
          <w:sz w:val="24"/>
          <w:szCs w:val="24"/>
        </w:rPr>
      </w:pPr>
      <w:r w:rsidRPr="000B4ABD">
        <w:rPr>
          <w:rFonts w:ascii="Cambria" w:hAnsi="Cambria"/>
          <w:b/>
          <w:i/>
          <w:sz w:val="24"/>
          <w:szCs w:val="24"/>
        </w:rPr>
        <w:t>Issued by the National Communications Authority:</w:t>
      </w:r>
    </w:p>
    <w:p w:rsidR="00C21803" w:rsidRPr="000B4ABD" w:rsidRDefault="00C21803" w:rsidP="00C21803">
      <w:pPr>
        <w:spacing w:line="276" w:lineRule="auto"/>
        <w:rPr>
          <w:rFonts w:ascii="Cambria" w:hAnsi="Cambria"/>
          <w:i/>
          <w:sz w:val="24"/>
          <w:szCs w:val="24"/>
        </w:rPr>
      </w:pPr>
      <w:r w:rsidRPr="000B4ABD">
        <w:rPr>
          <w:rFonts w:ascii="Cambria" w:hAnsi="Cambria"/>
          <w:i/>
          <w:sz w:val="24"/>
          <w:szCs w:val="24"/>
        </w:rPr>
        <w:t>No. 6 Airport City, Accra</w:t>
      </w:r>
      <w:r w:rsidRPr="000B4ABD">
        <w:rPr>
          <w:rFonts w:ascii="Cambria" w:hAnsi="Cambria"/>
          <w:i/>
          <w:sz w:val="24"/>
          <w:szCs w:val="24"/>
        </w:rPr>
        <w:br/>
        <w:t>Tel: (0)30 – 2776621/2771701 or 050-145-1522/3</w:t>
      </w:r>
      <w:r w:rsidRPr="000B4ABD">
        <w:rPr>
          <w:rFonts w:ascii="Cambria" w:hAnsi="Cambria"/>
          <w:i/>
          <w:sz w:val="24"/>
          <w:szCs w:val="24"/>
        </w:rPr>
        <w:br/>
      </w:r>
      <w:r w:rsidRPr="000B4ABD">
        <w:rPr>
          <w:rFonts w:ascii="Cambria" w:hAnsi="Cambria"/>
          <w:i/>
          <w:sz w:val="24"/>
          <w:szCs w:val="24"/>
        </w:rPr>
        <w:lastRenderedPageBreak/>
        <w:t xml:space="preserve">E-mail: </w:t>
      </w:r>
      <w:hyperlink r:id="rId7" w:history="1">
        <w:r w:rsidRPr="002C3B01">
          <w:rPr>
            <w:rStyle w:val="Hyperlink"/>
            <w:rFonts w:ascii="Cambria" w:hAnsi="Cambria"/>
            <w:i/>
            <w:color w:val="auto"/>
            <w:sz w:val="24"/>
            <w:szCs w:val="24"/>
          </w:rPr>
          <w:t>info@nca.org.gh</w:t>
        </w:r>
      </w:hyperlink>
      <w:r w:rsidRPr="002C3B01">
        <w:rPr>
          <w:rFonts w:ascii="Cambria" w:hAnsi="Cambria"/>
          <w:i/>
          <w:sz w:val="24"/>
          <w:szCs w:val="24"/>
        </w:rPr>
        <w:br/>
      </w:r>
      <w:r w:rsidRPr="000B4ABD">
        <w:rPr>
          <w:rFonts w:ascii="Cambria" w:hAnsi="Cambria"/>
          <w:i/>
          <w:sz w:val="24"/>
          <w:szCs w:val="24"/>
        </w:rPr>
        <w:t xml:space="preserve">Date </w:t>
      </w:r>
      <w:proofErr w:type="gramStart"/>
      <w:r w:rsidRPr="000B4ABD">
        <w:rPr>
          <w:rFonts w:ascii="Cambria" w:hAnsi="Cambria"/>
          <w:i/>
          <w:sz w:val="24"/>
          <w:szCs w:val="24"/>
        </w:rPr>
        <w:t>–</w:t>
      </w:r>
      <w:r>
        <w:rPr>
          <w:rFonts w:ascii="Cambria" w:hAnsi="Cambria"/>
          <w:i/>
          <w:sz w:val="24"/>
          <w:szCs w:val="24"/>
        </w:rPr>
        <w:t xml:space="preserve"> 19</w:t>
      </w:r>
      <w:r w:rsidRPr="003950D8">
        <w:rPr>
          <w:rFonts w:ascii="Cambria" w:hAnsi="Cambria"/>
          <w:i/>
          <w:sz w:val="24"/>
          <w:szCs w:val="24"/>
          <w:vertAlign w:val="superscript"/>
        </w:rPr>
        <w:t>th</w:t>
      </w:r>
      <w:proofErr w:type="gramEnd"/>
      <w:r>
        <w:rPr>
          <w:rFonts w:ascii="Cambria" w:hAnsi="Cambria"/>
          <w:i/>
          <w:sz w:val="24"/>
          <w:szCs w:val="24"/>
        </w:rPr>
        <w:t xml:space="preserve"> June,</w:t>
      </w:r>
      <w:r w:rsidRPr="000B4ABD">
        <w:rPr>
          <w:rFonts w:ascii="Cambria" w:hAnsi="Cambria"/>
          <w:i/>
          <w:sz w:val="24"/>
          <w:szCs w:val="24"/>
        </w:rPr>
        <w:t xml:space="preserve"> 202</w:t>
      </w:r>
      <w:r>
        <w:rPr>
          <w:rFonts w:ascii="Cambria" w:hAnsi="Cambria"/>
          <w:i/>
          <w:sz w:val="24"/>
          <w:szCs w:val="24"/>
        </w:rPr>
        <w:t>3</w:t>
      </w:r>
    </w:p>
    <w:p w:rsidR="00C21803" w:rsidRPr="000B4ABD" w:rsidRDefault="00C21803" w:rsidP="00C21803">
      <w:pPr>
        <w:spacing w:line="276" w:lineRule="auto"/>
        <w:rPr>
          <w:rFonts w:ascii="Cambria" w:hAnsi="Cambria"/>
          <w:i/>
          <w:sz w:val="24"/>
          <w:szCs w:val="24"/>
        </w:rPr>
      </w:pPr>
      <w:r w:rsidRPr="000B4ABD">
        <w:rPr>
          <w:rFonts w:ascii="Cambria" w:hAnsi="Cambria"/>
          <w:b/>
          <w:i/>
          <w:sz w:val="24"/>
          <w:szCs w:val="24"/>
        </w:rPr>
        <w:t>About NCA</w:t>
      </w:r>
    </w:p>
    <w:p w:rsidR="00C21803" w:rsidRDefault="00C21803" w:rsidP="00C21803">
      <w:pPr>
        <w:spacing w:line="276" w:lineRule="auto"/>
        <w:jc w:val="both"/>
        <w:rPr>
          <w:rFonts w:ascii="Cambria" w:hAnsi="Cambria"/>
          <w:i/>
          <w:sz w:val="24"/>
          <w:szCs w:val="24"/>
        </w:rPr>
      </w:pPr>
      <w:proofErr w:type="gramStart"/>
      <w:r w:rsidRPr="000B4ABD">
        <w:rPr>
          <w:rFonts w:ascii="Cambria" w:hAnsi="Cambria"/>
          <w:i/>
          <w:sz w:val="24"/>
          <w:szCs w:val="24"/>
        </w:rPr>
        <w:t>The National Communications Authority, (NCA), was established by an Act of Parliament, Act 524 in December 1996, which has been repealed and replaced by the National Communications Authority Act, 2008, Act 769</w:t>
      </w:r>
      <w:proofErr w:type="gramEnd"/>
      <w:r w:rsidRPr="000B4ABD">
        <w:rPr>
          <w:rFonts w:ascii="Cambria" w:hAnsi="Cambria"/>
          <w:i/>
          <w:sz w:val="24"/>
          <w:szCs w:val="24"/>
        </w:rPr>
        <w:t>.</w:t>
      </w:r>
    </w:p>
    <w:p w:rsidR="00D006C8" w:rsidRPr="00D006C8" w:rsidRDefault="00D006C8" w:rsidP="00D006C8">
      <w:pPr>
        <w:spacing w:line="276" w:lineRule="auto"/>
        <w:jc w:val="both"/>
        <w:rPr>
          <w:rFonts w:ascii="Cambria" w:hAnsi="Cambria"/>
          <w:b/>
          <w:i/>
          <w:sz w:val="24"/>
          <w:szCs w:val="24"/>
        </w:rPr>
      </w:pPr>
      <w:r w:rsidRPr="00D006C8">
        <w:rPr>
          <w:rFonts w:ascii="Cambria" w:hAnsi="Cambria"/>
          <w:b/>
          <w:i/>
          <w:sz w:val="24"/>
          <w:szCs w:val="24"/>
        </w:rPr>
        <w:t>What is SMP?</w:t>
      </w:r>
    </w:p>
    <w:p w:rsidR="00D006C8" w:rsidRPr="00D006C8" w:rsidRDefault="00D006C8" w:rsidP="00D006C8">
      <w:pPr>
        <w:spacing w:after="0"/>
        <w:rPr>
          <w:rFonts w:ascii="Cambria" w:hAnsi="Cambria"/>
          <w:i/>
          <w:sz w:val="24"/>
          <w:szCs w:val="24"/>
        </w:rPr>
      </w:pPr>
      <w:r w:rsidRPr="00D006C8">
        <w:rPr>
          <w:rFonts w:ascii="Cambria" w:hAnsi="Cambria"/>
          <w:i/>
          <w:sz w:val="24"/>
          <w:szCs w:val="24"/>
        </w:rPr>
        <w:t xml:space="preserve">Any operator with 40% or more market share in voice, data, SMS and value added services like Mobile Money, </w:t>
      </w:r>
      <w:proofErr w:type="gramStart"/>
      <w:r w:rsidRPr="00D006C8">
        <w:rPr>
          <w:rFonts w:ascii="Cambria" w:hAnsi="Cambria"/>
          <w:i/>
          <w:sz w:val="24"/>
          <w:szCs w:val="24"/>
        </w:rPr>
        <w:t>is considered</w:t>
      </w:r>
      <w:proofErr w:type="gramEnd"/>
      <w:r w:rsidRPr="00D006C8">
        <w:rPr>
          <w:rFonts w:ascii="Cambria" w:hAnsi="Cambria"/>
          <w:i/>
          <w:sz w:val="24"/>
          <w:szCs w:val="24"/>
        </w:rPr>
        <w:t xml:space="preserve"> a Significant Market Power (SMP) in the National Telecommunications Policy 2005. </w:t>
      </w:r>
    </w:p>
    <w:p w:rsidR="00D006C8" w:rsidRPr="00D006C8" w:rsidRDefault="00D006C8" w:rsidP="00D006C8">
      <w:pPr>
        <w:spacing w:after="0"/>
        <w:rPr>
          <w:rFonts w:ascii="Cambria" w:hAnsi="Cambria"/>
          <w:i/>
          <w:sz w:val="24"/>
          <w:szCs w:val="24"/>
        </w:rPr>
      </w:pPr>
    </w:p>
    <w:p w:rsidR="00D006C8" w:rsidRPr="00D006C8" w:rsidRDefault="00D006C8" w:rsidP="00D006C8">
      <w:pPr>
        <w:spacing w:after="0"/>
        <w:rPr>
          <w:rFonts w:ascii="Cambria" w:hAnsi="Cambria"/>
          <w:b/>
          <w:i/>
          <w:sz w:val="24"/>
          <w:szCs w:val="24"/>
        </w:rPr>
      </w:pPr>
      <w:r w:rsidRPr="00D006C8">
        <w:rPr>
          <w:rFonts w:ascii="Cambria" w:hAnsi="Cambria"/>
          <w:b/>
          <w:i/>
          <w:sz w:val="24"/>
          <w:szCs w:val="24"/>
        </w:rPr>
        <w:t>Which Laws back SMP declaration in Ghana?</w:t>
      </w:r>
    </w:p>
    <w:p w:rsidR="00D006C8" w:rsidRPr="00D006C8" w:rsidRDefault="00D006C8" w:rsidP="00D006C8">
      <w:pPr>
        <w:spacing w:after="0"/>
        <w:rPr>
          <w:rFonts w:ascii="Cambria" w:hAnsi="Cambria"/>
          <w:i/>
          <w:sz w:val="24"/>
          <w:szCs w:val="24"/>
        </w:rPr>
      </w:pPr>
      <w:r w:rsidRPr="00D006C8">
        <w:rPr>
          <w:rFonts w:ascii="Cambria" w:hAnsi="Cambria"/>
          <w:i/>
          <w:sz w:val="24"/>
          <w:szCs w:val="24"/>
        </w:rPr>
        <w:t>Two laws back SMP in Ghana. The first is the National Telecommunications Policy 2005. The Policy states in part under ‘Significant Market Power’ that;</w:t>
      </w:r>
    </w:p>
    <w:p w:rsidR="00D006C8" w:rsidRPr="00D006C8" w:rsidRDefault="00D006C8" w:rsidP="00D006C8">
      <w:pPr>
        <w:spacing w:after="0"/>
        <w:rPr>
          <w:rFonts w:ascii="Cambria" w:hAnsi="Cambria"/>
          <w:i/>
          <w:sz w:val="24"/>
          <w:szCs w:val="24"/>
        </w:rPr>
      </w:pPr>
    </w:p>
    <w:p w:rsidR="00D006C8" w:rsidRPr="00D006C8" w:rsidRDefault="00D006C8" w:rsidP="00D006C8">
      <w:pPr>
        <w:spacing w:after="0"/>
        <w:rPr>
          <w:rFonts w:ascii="Cambria" w:hAnsi="Cambria"/>
          <w:i/>
          <w:sz w:val="24"/>
          <w:szCs w:val="24"/>
          <w:u w:val="single"/>
        </w:rPr>
      </w:pPr>
      <w:r w:rsidRPr="00D006C8">
        <w:rPr>
          <w:rFonts w:ascii="Cambria" w:hAnsi="Cambria"/>
          <w:i/>
          <w:sz w:val="24"/>
          <w:szCs w:val="24"/>
          <w:u w:val="single"/>
        </w:rPr>
        <w:t>National Telecommunications Policy 2005</w:t>
      </w:r>
    </w:p>
    <w:p w:rsidR="00D006C8" w:rsidRPr="00D006C8" w:rsidRDefault="00D006C8" w:rsidP="00D006C8">
      <w:pPr>
        <w:spacing w:after="0"/>
        <w:rPr>
          <w:rFonts w:ascii="Cambria" w:hAnsi="Cambria"/>
          <w:i/>
          <w:sz w:val="24"/>
          <w:szCs w:val="24"/>
        </w:rPr>
      </w:pPr>
      <w:r w:rsidRPr="00D006C8">
        <w:rPr>
          <w:rFonts w:ascii="Cambria" w:hAnsi="Cambria"/>
          <w:i/>
          <w:sz w:val="24"/>
          <w:szCs w:val="24"/>
        </w:rPr>
        <w:t xml:space="preserve">The NCA will define regulations to establish what constitutes Significant Market Power, but in </w:t>
      </w:r>
      <w:proofErr w:type="gramStart"/>
      <w:r w:rsidRPr="00D006C8">
        <w:rPr>
          <w:rFonts w:ascii="Cambria" w:hAnsi="Cambria"/>
          <w:i/>
          <w:sz w:val="24"/>
          <w:szCs w:val="24"/>
        </w:rPr>
        <w:t>general</w:t>
      </w:r>
      <w:proofErr w:type="gramEnd"/>
      <w:r w:rsidRPr="00D006C8">
        <w:rPr>
          <w:rFonts w:ascii="Cambria" w:hAnsi="Cambria"/>
          <w:i/>
          <w:sz w:val="24"/>
          <w:szCs w:val="24"/>
        </w:rPr>
        <w:t xml:space="preserve"> SMP will be determined to exist for an organization providing telecommunications services that controls at least 40% of a relevant market segment in the absence of an NCA determination of a different standard in specific cases. The NCA will determine the methodology to determine SMP which may include analysis of market shares, control of infrastructure, technological advantages, absence of competition, privileged access to financial resources, bundling of services/products, economies of scale, scope, vertical and/or horizontal integration, distribution of networks, links with other markets and collusion issues.</w:t>
      </w:r>
    </w:p>
    <w:p w:rsidR="00D006C8" w:rsidRPr="00D006C8" w:rsidRDefault="00D006C8" w:rsidP="00D006C8">
      <w:pPr>
        <w:spacing w:after="0"/>
        <w:rPr>
          <w:rFonts w:ascii="Cambria" w:hAnsi="Cambria"/>
          <w:i/>
          <w:sz w:val="24"/>
          <w:szCs w:val="24"/>
        </w:rPr>
      </w:pPr>
    </w:p>
    <w:p w:rsidR="00D006C8" w:rsidRPr="00D006C8" w:rsidRDefault="00D006C8" w:rsidP="00D006C8">
      <w:pPr>
        <w:spacing w:after="0"/>
        <w:rPr>
          <w:rFonts w:ascii="Cambria" w:hAnsi="Cambria"/>
          <w:i/>
          <w:sz w:val="24"/>
          <w:szCs w:val="24"/>
          <w:u w:val="single"/>
        </w:rPr>
      </w:pPr>
      <w:r w:rsidRPr="00D006C8">
        <w:rPr>
          <w:rFonts w:ascii="Cambria" w:hAnsi="Cambria"/>
          <w:i/>
          <w:sz w:val="24"/>
          <w:szCs w:val="24"/>
          <w:u w:val="single"/>
        </w:rPr>
        <w:t>The Electronic Communications Act 2008, Act 755</w:t>
      </w:r>
    </w:p>
    <w:p w:rsidR="00D006C8" w:rsidRPr="00D006C8" w:rsidRDefault="00D006C8" w:rsidP="00D006C8">
      <w:pPr>
        <w:spacing w:after="0"/>
        <w:rPr>
          <w:rFonts w:ascii="Cambria" w:hAnsi="Cambria"/>
          <w:i/>
          <w:sz w:val="24"/>
          <w:szCs w:val="24"/>
        </w:rPr>
      </w:pPr>
      <w:r w:rsidRPr="00D006C8">
        <w:rPr>
          <w:rFonts w:ascii="Cambria" w:hAnsi="Cambria"/>
          <w:i/>
          <w:sz w:val="24"/>
          <w:szCs w:val="24"/>
        </w:rPr>
        <w:t>The Electronic Communications Act 2008, Act 755 in Section 10 (10 &amp;11) further affirms this by stating that:</w:t>
      </w:r>
    </w:p>
    <w:p w:rsidR="00D006C8" w:rsidRPr="00D006C8" w:rsidRDefault="00D006C8" w:rsidP="00D006C8">
      <w:pPr>
        <w:spacing w:after="0"/>
        <w:rPr>
          <w:rFonts w:ascii="Cambria" w:hAnsi="Cambria"/>
          <w:i/>
          <w:sz w:val="24"/>
          <w:szCs w:val="24"/>
        </w:rPr>
      </w:pPr>
    </w:p>
    <w:p w:rsidR="00D006C8" w:rsidRPr="00D006C8" w:rsidRDefault="00D006C8" w:rsidP="00D006C8">
      <w:pPr>
        <w:spacing w:after="0"/>
        <w:rPr>
          <w:rFonts w:ascii="Cambria" w:hAnsi="Cambria"/>
          <w:i/>
          <w:sz w:val="24"/>
          <w:szCs w:val="24"/>
        </w:rPr>
      </w:pPr>
      <w:r w:rsidRPr="00D006C8">
        <w:rPr>
          <w:rFonts w:ascii="Cambria" w:hAnsi="Cambria"/>
          <w:i/>
          <w:sz w:val="24"/>
          <w:szCs w:val="24"/>
        </w:rPr>
        <w:t xml:space="preserve">(10) The Authority may classify a network operator or service provider as dominant if individually or jointly with others, that network operator or service provider enjoys a position of economic strength that enables it to behave to an appreciable extent independently of competitors and users. </w:t>
      </w:r>
    </w:p>
    <w:p w:rsidR="00D006C8" w:rsidRPr="00D006C8" w:rsidRDefault="00D006C8" w:rsidP="00D006C8">
      <w:pPr>
        <w:spacing w:after="0"/>
        <w:rPr>
          <w:rFonts w:ascii="Cambria" w:hAnsi="Cambria"/>
          <w:i/>
          <w:sz w:val="24"/>
          <w:szCs w:val="24"/>
        </w:rPr>
      </w:pPr>
    </w:p>
    <w:p w:rsidR="00D006C8" w:rsidRPr="00D006C8" w:rsidRDefault="00D006C8" w:rsidP="00D006C8">
      <w:pPr>
        <w:spacing w:after="0"/>
        <w:rPr>
          <w:rFonts w:ascii="Cambria" w:hAnsi="Cambria"/>
          <w:i/>
          <w:sz w:val="24"/>
          <w:szCs w:val="24"/>
        </w:rPr>
      </w:pPr>
      <w:r w:rsidRPr="00D006C8">
        <w:rPr>
          <w:rFonts w:ascii="Cambria" w:hAnsi="Cambria"/>
          <w:i/>
          <w:sz w:val="24"/>
          <w:szCs w:val="24"/>
        </w:rPr>
        <w:t xml:space="preserve">(11) In making the classification under subsection (10), the Authority shall take into consideration </w:t>
      </w:r>
    </w:p>
    <w:p w:rsidR="00D006C8" w:rsidRPr="00D006C8" w:rsidRDefault="00D006C8" w:rsidP="00D006C8">
      <w:pPr>
        <w:spacing w:after="0"/>
        <w:ind w:firstLine="720"/>
        <w:rPr>
          <w:rFonts w:ascii="Cambria" w:hAnsi="Cambria"/>
          <w:i/>
          <w:sz w:val="24"/>
          <w:szCs w:val="24"/>
        </w:rPr>
      </w:pPr>
      <w:r w:rsidRPr="00D006C8">
        <w:rPr>
          <w:rFonts w:ascii="Cambria" w:hAnsi="Cambria"/>
          <w:i/>
          <w:sz w:val="24"/>
          <w:szCs w:val="24"/>
        </w:rPr>
        <w:t xml:space="preserve">(a) </w:t>
      </w:r>
      <w:proofErr w:type="gramStart"/>
      <w:r w:rsidRPr="00D006C8">
        <w:rPr>
          <w:rFonts w:ascii="Cambria" w:hAnsi="Cambria"/>
          <w:i/>
          <w:sz w:val="24"/>
          <w:szCs w:val="24"/>
        </w:rPr>
        <w:t>the</w:t>
      </w:r>
      <w:proofErr w:type="gramEnd"/>
      <w:r w:rsidRPr="00D006C8">
        <w:rPr>
          <w:rFonts w:ascii="Cambria" w:hAnsi="Cambria"/>
          <w:i/>
          <w:sz w:val="24"/>
          <w:szCs w:val="24"/>
        </w:rPr>
        <w:t xml:space="preserve"> relevant market, </w:t>
      </w:r>
    </w:p>
    <w:p w:rsidR="00D006C8" w:rsidRPr="00D006C8" w:rsidRDefault="00D006C8" w:rsidP="00D006C8">
      <w:pPr>
        <w:spacing w:after="0"/>
        <w:ind w:firstLine="720"/>
        <w:rPr>
          <w:rFonts w:ascii="Cambria" w:hAnsi="Cambria"/>
          <w:i/>
          <w:sz w:val="24"/>
          <w:szCs w:val="24"/>
        </w:rPr>
      </w:pPr>
      <w:r w:rsidRPr="00D006C8">
        <w:rPr>
          <w:rFonts w:ascii="Cambria" w:hAnsi="Cambria"/>
          <w:i/>
          <w:sz w:val="24"/>
          <w:szCs w:val="24"/>
        </w:rPr>
        <w:t xml:space="preserve">(b) </w:t>
      </w:r>
      <w:proofErr w:type="gramStart"/>
      <w:r w:rsidRPr="00D006C8">
        <w:rPr>
          <w:rFonts w:ascii="Cambria" w:hAnsi="Cambria"/>
          <w:i/>
          <w:sz w:val="24"/>
          <w:szCs w:val="24"/>
        </w:rPr>
        <w:t>technology</w:t>
      </w:r>
      <w:proofErr w:type="gramEnd"/>
      <w:r w:rsidRPr="00D006C8">
        <w:rPr>
          <w:rFonts w:ascii="Cambria" w:hAnsi="Cambria"/>
          <w:i/>
          <w:sz w:val="24"/>
          <w:szCs w:val="24"/>
        </w:rPr>
        <w:t xml:space="preserve"> and market trend, </w:t>
      </w:r>
    </w:p>
    <w:p w:rsidR="00D006C8" w:rsidRPr="00D006C8" w:rsidRDefault="00D006C8" w:rsidP="00D006C8">
      <w:pPr>
        <w:spacing w:after="0"/>
        <w:ind w:firstLine="720"/>
        <w:rPr>
          <w:rFonts w:ascii="Cambria" w:hAnsi="Cambria"/>
          <w:i/>
          <w:sz w:val="24"/>
          <w:szCs w:val="24"/>
        </w:rPr>
      </w:pPr>
      <w:r w:rsidRPr="00D006C8">
        <w:rPr>
          <w:rFonts w:ascii="Cambria" w:hAnsi="Cambria"/>
          <w:i/>
          <w:sz w:val="24"/>
          <w:szCs w:val="24"/>
        </w:rPr>
        <w:t xml:space="preserve">(c) </w:t>
      </w:r>
      <w:proofErr w:type="gramStart"/>
      <w:r w:rsidRPr="00D006C8">
        <w:rPr>
          <w:rFonts w:ascii="Cambria" w:hAnsi="Cambria"/>
          <w:i/>
          <w:sz w:val="24"/>
          <w:szCs w:val="24"/>
        </w:rPr>
        <w:t>the</w:t>
      </w:r>
      <w:proofErr w:type="gramEnd"/>
      <w:r w:rsidRPr="00D006C8">
        <w:rPr>
          <w:rFonts w:ascii="Cambria" w:hAnsi="Cambria"/>
          <w:i/>
          <w:sz w:val="24"/>
          <w:szCs w:val="24"/>
        </w:rPr>
        <w:t xml:space="preserve"> market share of the operator or service provider, </w:t>
      </w:r>
    </w:p>
    <w:p w:rsidR="00D006C8" w:rsidRPr="00D006C8" w:rsidRDefault="00D006C8" w:rsidP="00D006C8">
      <w:pPr>
        <w:spacing w:after="0"/>
        <w:ind w:left="720"/>
        <w:rPr>
          <w:rFonts w:ascii="Cambria" w:hAnsi="Cambria"/>
          <w:i/>
          <w:sz w:val="24"/>
          <w:szCs w:val="24"/>
        </w:rPr>
      </w:pPr>
      <w:r w:rsidRPr="00D006C8">
        <w:rPr>
          <w:rFonts w:ascii="Cambria" w:hAnsi="Cambria"/>
          <w:i/>
          <w:sz w:val="24"/>
          <w:szCs w:val="24"/>
        </w:rPr>
        <w:t xml:space="preserve">(d) </w:t>
      </w:r>
      <w:proofErr w:type="gramStart"/>
      <w:r w:rsidRPr="00D006C8">
        <w:rPr>
          <w:rFonts w:ascii="Cambria" w:hAnsi="Cambria"/>
          <w:i/>
          <w:sz w:val="24"/>
          <w:szCs w:val="24"/>
        </w:rPr>
        <w:t>the</w:t>
      </w:r>
      <w:proofErr w:type="gramEnd"/>
      <w:r w:rsidRPr="00D006C8">
        <w:rPr>
          <w:rFonts w:ascii="Cambria" w:hAnsi="Cambria"/>
          <w:i/>
          <w:sz w:val="24"/>
          <w:szCs w:val="24"/>
        </w:rPr>
        <w:t xml:space="preserve"> power of the operator or service provider to introduce and sustain a material price increase independently of competitors, </w:t>
      </w:r>
    </w:p>
    <w:p w:rsidR="00D006C8" w:rsidRPr="00D006C8" w:rsidRDefault="00D006C8" w:rsidP="00D006C8">
      <w:pPr>
        <w:spacing w:after="0"/>
        <w:ind w:firstLine="720"/>
        <w:rPr>
          <w:rFonts w:ascii="Cambria" w:hAnsi="Cambria"/>
          <w:i/>
          <w:sz w:val="24"/>
          <w:szCs w:val="24"/>
        </w:rPr>
      </w:pPr>
      <w:r w:rsidRPr="00D006C8">
        <w:rPr>
          <w:rFonts w:ascii="Cambria" w:hAnsi="Cambria"/>
          <w:i/>
          <w:sz w:val="24"/>
          <w:szCs w:val="24"/>
        </w:rPr>
        <w:t xml:space="preserve">(e) </w:t>
      </w:r>
      <w:proofErr w:type="gramStart"/>
      <w:r w:rsidRPr="00D006C8">
        <w:rPr>
          <w:rFonts w:ascii="Cambria" w:hAnsi="Cambria"/>
          <w:i/>
          <w:sz w:val="24"/>
          <w:szCs w:val="24"/>
        </w:rPr>
        <w:t>the</w:t>
      </w:r>
      <w:proofErr w:type="gramEnd"/>
      <w:r w:rsidRPr="00D006C8">
        <w:rPr>
          <w:rFonts w:ascii="Cambria" w:hAnsi="Cambria"/>
          <w:i/>
          <w:sz w:val="24"/>
          <w:szCs w:val="24"/>
        </w:rPr>
        <w:t xml:space="preserve"> degree of differentiation among networks and services in the market, </w:t>
      </w:r>
    </w:p>
    <w:p w:rsidR="00D006C8" w:rsidRPr="00D006C8" w:rsidRDefault="00D006C8" w:rsidP="00D006C8">
      <w:pPr>
        <w:spacing w:after="0"/>
        <w:ind w:firstLine="720"/>
        <w:rPr>
          <w:rFonts w:ascii="Cambria" w:hAnsi="Cambria"/>
          <w:i/>
          <w:noProof/>
          <w:sz w:val="24"/>
          <w:szCs w:val="24"/>
        </w:rPr>
      </w:pPr>
      <w:r w:rsidRPr="00D006C8">
        <w:rPr>
          <w:rFonts w:ascii="Cambria" w:hAnsi="Cambria"/>
          <w:i/>
          <w:sz w:val="24"/>
          <w:szCs w:val="24"/>
        </w:rPr>
        <w:t xml:space="preserve">(I) any other matter that the Authority considers relevant. </w:t>
      </w:r>
      <w:r w:rsidRPr="00D006C8">
        <w:rPr>
          <w:rFonts w:ascii="Cambria" w:hAnsi="Cambria"/>
          <w:i/>
          <w:noProof/>
          <w:sz w:val="24"/>
          <w:szCs w:val="24"/>
        </w:rPr>
        <w:t xml:space="preserve"> </w:t>
      </w:r>
    </w:p>
    <w:p w:rsidR="00D006C8" w:rsidRPr="00D006C8" w:rsidRDefault="00D006C8" w:rsidP="00D006C8">
      <w:pPr>
        <w:spacing w:after="0"/>
        <w:ind w:firstLine="720"/>
        <w:rPr>
          <w:rFonts w:ascii="Cambria" w:hAnsi="Cambria"/>
          <w:i/>
          <w:sz w:val="24"/>
          <w:szCs w:val="24"/>
        </w:rPr>
      </w:pPr>
    </w:p>
    <w:p w:rsidR="00D006C8" w:rsidRPr="00D006C8" w:rsidRDefault="00D006C8" w:rsidP="00D006C8">
      <w:pPr>
        <w:spacing w:after="0"/>
        <w:rPr>
          <w:rFonts w:ascii="Cambria" w:hAnsi="Cambria"/>
          <w:b/>
          <w:i/>
          <w:sz w:val="24"/>
          <w:szCs w:val="24"/>
        </w:rPr>
      </w:pPr>
      <w:r w:rsidRPr="00D006C8">
        <w:rPr>
          <w:rFonts w:ascii="Cambria" w:hAnsi="Cambria"/>
          <w:b/>
          <w:i/>
          <w:noProof/>
          <w:sz w:val="24"/>
          <w:szCs w:val="24"/>
        </w:rPr>
        <w:t>What measures has the NCA taken with regards to declaring MTN as an SMP?</w:t>
      </w:r>
    </w:p>
    <w:p w:rsidR="00D006C8" w:rsidRPr="00D006C8" w:rsidRDefault="00D006C8" w:rsidP="00D006C8">
      <w:pPr>
        <w:spacing w:after="0"/>
        <w:rPr>
          <w:rFonts w:ascii="Cambria" w:hAnsi="Cambria"/>
          <w:i/>
          <w:sz w:val="24"/>
          <w:szCs w:val="24"/>
        </w:rPr>
      </w:pPr>
      <w:r w:rsidRPr="00D006C8">
        <w:rPr>
          <w:rFonts w:ascii="Cambria" w:hAnsi="Cambria"/>
          <w:i/>
          <w:sz w:val="24"/>
          <w:szCs w:val="24"/>
        </w:rPr>
        <w:t xml:space="preserve">Following the declaration of MTN as an SMP, NCA has undertaken the following measures as a result: </w:t>
      </w:r>
    </w:p>
    <w:p w:rsidR="00D006C8" w:rsidRPr="00D006C8" w:rsidRDefault="00D006C8" w:rsidP="00D006C8">
      <w:pPr>
        <w:spacing w:after="0"/>
        <w:rPr>
          <w:rFonts w:ascii="Cambria" w:hAnsi="Cambria"/>
          <w:i/>
          <w:sz w:val="24"/>
          <w:szCs w:val="24"/>
        </w:rPr>
      </w:pPr>
    </w:p>
    <w:p w:rsidR="00D006C8" w:rsidRPr="00D006C8" w:rsidRDefault="00D006C8" w:rsidP="00D006C8">
      <w:pPr>
        <w:pStyle w:val="ListParagraph"/>
        <w:numPr>
          <w:ilvl w:val="0"/>
          <w:numId w:val="1"/>
        </w:numPr>
        <w:spacing w:after="0"/>
        <w:rPr>
          <w:rFonts w:ascii="Cambria" w:hAnsi="Cambria"/>
          <w:i/>
          <w:sz w:val="24"/>
          <w:szCs w:val="24"/>
        </w:rPr>
      </w:pPr>
      <w:r w:rsidRPr="00D006C8">
        <w:rPr>
          <w:rFonts w:ascii="Cambria" w:hAnsi="Cambria"/>
          <w:i/>
          <w:sz w:val="24"/>
          <w:szCs w:val="24"/>
        </w:rPr>
        <w:t xml:space="preserve">With immediate effect, there will be an application of a 30% Asymmetrical Interconnect rates for two (2) years subject to market response, in </w:t>
      </w:r>
      <w:proofErr w:type="spellStart"/>
      <w:r w:rsidRPr="00D006C8">
        <w:rPr>
          <w:rFonts w:ascii="Cambria" w:hAnsi="Cambria"/>
          <w:i/>
          <w:sz w:val="24"/>
          <w:szCs w:val="24"/>
        </w:rPr>
        <w:t>favour</w:t>
      </w:r>
      <w:proofErr w:type="spellEnd"/>
      <w:r w:rsidRPr="00D006C8">
        <w:rPr>
          <w:rFonts w:ascii="Cambria" w:hAnsi="Cambria"/>
          <w:i/>
          <w:sz w:val="24"/>
          <w:szCs w:val="24"/>
        </w:rPr>
        <w:t xml:space="preserve"> of the disadvantaged operators, in accordance with the law. </w:t>
      </w:r>
    </w:p>
    <w:p w:rsidR="00D006C8" w:rsidRPr="00D006C8" w:rsidRDefault="00D006C8" w:rsidP="00D006C8">
      <w:pPr>
        <w:pStyle w:val="ListParagraph"/>
        <w:numPr>
          <w:ilvl w:val="0"/>
          <w:numId w:val="1"/>
        </w:numPr>
        <w:spacing w:after="0"/>
        <w:rPr>
          <w:rFonts w:ascii="Cambria" w:hAnsi="Cambria"/>
          <w:i/>
          <w:sz w:val="24"/>
          <w:szCs w:val="24"/>
        </w:rPr>
      </w:pPr>
      <w:r w:rsidRPr="00D006C8">
        <w:rPr>
          <w:rFonts w:ascii="Cambria" w:hAnsi="Cambria"/>
          <w:i/>
          <w:sz w:val="24"/>
          <w:szCs w:val="24"/>
        </w:rPr>
        <w:t xml:space="preserve">Set floor/ceiling pricing on Voice, Data, SMS, Mobile Money, etc. </w:t>
      </w:r>
    </w:p>
    <w:p w:rsidR="00D006C8" w:rsidRPr="00D006C8" w:rsidRDefault="00D006C8" w:rsidP="00D006C8">
      <w:pPr>
        <w:pStyle w:val="ListParagraph"/>
        <w:numPr>
          <w:ilvl w:val="0"/>
          <w:numId w:val="1"/>
        </w:numPr>
        <w:spacing w:after="0"/>
        <w:rPr>
          <w:rFonts w:ascii="Cambria" w:hAnsi="Cambria"/>
          <w:i/>
          <w:sz w:val="24"/>
          <w:szCs w:val="24"/>
        </w:rPr>
      </w:pPr>
      <w:r w:rsidRPr="00D006C8">
        <w:rPr>
          <w:rFonts w:ascii="Cambria" w:hAnsi="Cambria"/>
          <w:i/>
          <w:sz w:val="24"/>
          <w:szCs w:val="24"/>
        </w:rPr>
        <w:t xml:space="preserve">Review and approve all pricing by MTN as required by law. </w:t>
      </w:r>
    </w:p>
    <w:p w:rsidR="00D006C8" w:rsidRPr="00D006C8" w:rsidRDefault="00D006C8" w:rsidP="00D006C8">
      <w:pPr>
        <w:pStyle w:val="ListParagraph"/>
        <w:numPr>
          <w:ilvl w:val="0"/>
          <w:numId w:val="1"/>
        </w:numPr>
        <w:spacing w:after="0"/>
        <w:rPr>
          <w:rFonts w:ascii="Cambria" w:hAnsi="Cambria"/>
          <w:i/>
          <w:sz w:val="24"/>
          <w:szCs w:val="24"/>
        </w:rPr>
      </w:pPr>
      <w:r w:rsidRPr="00D006C8">
        <w:rPr>
          <w:rFonts w:ascii="Cambria" w:hAnsi="Cambria"/>
          <w:i/>
          <w:sz w:val="24"/>
          <w:szCs w:val="24"/>
        </w:rPr>
        <w:t xml:space="preserve">Require MTN not to have differential prices for on-net and off-net transactions. </w:t>
      </w:r>
    </w:p>
    <w:p w:rsidR="00D006C8" w:rsidRPr="00D006C8" w:rsidRDefault="00D006C8" w:rsidP="00D006C8">
      <w:pPr>
        <w:pStyle w:val="ListParagraph"/>
        <w:numPr>
          <w:ilvl w:val="0"/>
          <w:numId w:val="1"/>
        </w:numPr>
        <w:spacing w:after="0"/>
        <w:rPr>
          <w:rFonts w:ascii="Cambria" w:hAnsi="Cambria"/>
          <w:i/>
          <w:sz w:val="24"/>
          <w:szCs w:val="24"/>
        </w:rPr>
      </w:pPr>
      <w:r w:rsidRPr="00D006C8">
        <w:rPr>
          <w:rFonts w:ascii="Cambria" w:hAnsi="Cambria"/>
          <w:i/>
          <w:sz w:val="24"/>
          <w:szCs w:val="24"/>
        </w:rPr>
        <w:t xml:space="preserve">Ensure various operator vendors are not subject to exclusionary pricing or </w:t>
      </w:r>
      <w:proofErr w:type="spellStart"/>
      <w:r w:rsidRPr="00D006C8">
        <w:rPr>
          <w:rFonts w:ascii="Cambria" w:hAnsi="Cambria"/>
          <w:i/>
          <w:sz w:val="24"/>
          <w:szCs w:val="24"/>
        </w:rPr>
        <w:t>behaviour</w:t>
      </w:r>
      <w:proofErr w:type="spellEnd"/>
      <w:r w:rsidRPr="00D006C8">
        <w:rPr>
          <w:rFonts w:ascii="Cambria" w:hAnsi="Cambria"/>
          <w:i/>
          <w:sz w:val="24"/>
          <w:szCs w:val="24"/>
        </w:rPr>
        <w:t xml:space="preserve">. </w:t>
      </w:r>
    </w:p>
    <w:p w:rsidR="00D006C8" w:rsidRPr="00D006C8" w:rsidRDefault="00D006C8" w:rsidP="00D006C8">
      <w:pPr>
        <w:pStyle w:val="ListParagraph"/>
        <w:numPr>
          <w:ilvl w:val="0"/>
          <w:numId w:val="1"/>
        </w:numPr>
        <w:spacing w:after="0"/>
        <w:rPr>
          <w:rFonts w:ascii="Cambria" w:hAnsi="Cambria"/>
          <w:i/>
          <w:sz w:val="24"/>
          <w:szCs w:val="24"/>
        </w:rPr>
      </w:pPr>
      <w:r w:rsidRPr="00D006C8">
        <w:rPr>
          <w:rFonts w:ascii="Cambria" w:hAnsi="Cambria"/>
          <w:i/>
          <w:sz w:val="24"/>
          <w:szCs w:val="24"/>
        </w:rPr>
        <w:t xml:space="preserve">Ensure that MTN’s access to information does not disadvantage any Value Added Service of non-SMP operators. </w:t>
      </w:r>
    </w:p>
    <w:p w:rsidR="00D006C8" w:rsidRPr="00D006C8" w:rsidRDefault="00D006C8" w:rsidP="00D006C8">
      <w:pPr>
        <w:pStyle w:val="ListParagraph"/>
        <w:numPr>
          <w:ilvl w:val="0"/>
          <w:numId w:val="1"/>
        </w:numPr>
        <w:spacing w:after="0"/>
        <w:rPr>
          <w:rFonts w:ascii="Cambria" w:hAnsi="Cambria"/>
          <w:i/>
          <w:sz w:val="24"/>
          <w:szCs w:val="24"/>
        </w:rPr>
      </w:pPr>
      <w:r w:rsidRPr="00D006C8">
        <w:rPr>
          <w:rFonts w:ascii="Cambria" w:hAnsi="Cambria"/>
          <w:i/>
          <w:sz w:val="24"/>
          <w:szCs w:val="24"/>
        </w:rPr>
        <w:t>Require MTN to present implementation plans on National Roaming Services within the next 30 days for execution on or before the next 90 days.</w:t>
      </w:r>
    </w:p>
    <w:p w:rsidR="00D006C8" w:rsidRPr="00D006C8" w:rsidRDefault="00D006C8" w:rsidP="00D006C8">
      <w:pPr>
        <w:spacing w:line="276" w:lineRule="auto"/>
        <w:jc w:val="both"/>
        <w:rPr>
          <w:rFonts w:ascii="Cambria" w:hAnsi="Cambria"/>
          <w:i/>
          <w:sz w:val="24"/>
          <w:szCs w:val="24"/>
        </w:rPr>
      </w:pPr>
      <w:bookmarkStart w:id="0" w:name="_GoBack"/>
      <w:bookmarkEnd w:id="0"/>
    </w:p>
    <w:p w:rsidR="00D006C8" w:rsidRPr="00D006C8" w:rsidRDefault="00D006C8" w:rsidP="00D006C8">
      <w:pPr>
        <w:spacing w:line="276" w:lineRule="auto"/>
        <w:jc w:val="both"/>
        <w:rPr>
          <w:rFonts w:ascii="Cambria" w:hAnsi="Cambria"/>
          <w:b/>
          <w:i/>
          <w:sz w:val="24"/>
          <w:szCs w:val="24"/>
        </w:rPr>
      </w:pPr>
      <w:r w:rsidRPr="00D006C8">
        <w:rPr>
          <w:rFonts w:ascii="Cambria" w:hAnsi="Cambria"/>
          <w:b/>
          <w:i/>
          <w:sz w:val="24"/>
          <w:szCs w:val="24"/>
        </w:rPr>
        <w:t>Publication of SMP Declaration</w:t>
      </w:r>
    </w:p>
    <w:p w:rsidR="00D006C8" w:rsidRPr="00D006C8" w:rsidRDefault="00D006C8" w:rsidP="00D006C8">
      <w:pPr>
        <w:spacing w:line="276" w:lineRule="auto"/>
        <w:jc w:val="both"/>
        <w:rPr>
          <w:rFonts w:ascii="Cambria" w:hAnsi="Cambria"/>
          <w:i/>
          <w:sz w:val="24"/>
          <w:szCs w:val="24"/>
        </w:rPr>
      </w:pPr>
      <w:r w:rsidRPr="00D006C8">
        <w:rPr>
          <w:rFonts w:ascii="Cambria" w:hAnsi="Cambria"/>
          <w:i/>
          <w:sz w:val="24"/>
          <w:szCs w:val="24"/>
        </w:rPr>
        <w:t xml:space="preserve">The NCA declared MTN as an SMP in a release published June 9, 2020. The release </w:t>
      </w:r>
      <w:proofErr w:type="gramStart"/>
      <w:r w:rsidRPr="00D006C8">
        <w:rPr>
          <w:rFonts w:ascii="Cambria" w:hAnsi="Cambria"/>
          <w:i/>
          <w:sz w:val="24"/>
          <w:szCs w:val="24"/>
        </w:rPr>
        <w:t>can be accessed</w:t>
      </w:r>
      <w:proofErr w:type="gramEnd"/>
      <w:r w:rsidRPr="00D006C8">
        <w:rPr>
          <w:rFonts w:ascii="Cambria" w:hAnsi="Cambria"/>
          <w:i/>
          <w:sz w:val="24"/>
          <w:szCs w:val="24"/>
        </w:rPr>
        <w:t xml:space="preserve"> via </w:t>
      </w:r>
      <w:hyperlink r:id="rId8" w:history="1">
        <w:r w:rsidRPr="00D006C8">
          <w:rPr>
            <w:rStyle w:val="Hyperlink"/>
            <w:rFonts w:ascii="Cambria" w:hAnsi="Cambria"/>
            <w:i/>
            <w:sz w:val="24"/>
            <w:szCs w:val="24"/>
          </w:rPr>
          <w:t>https://nca.org.gh/wp-content/uploads/2023/04/NCA-Declares-MTN-as-a-SMP.pdf</w:t>
        </w:r>
      </w:hyperlink>
      <w:r w:rsidRPr="00D006C8">
        <w:rPr>
          <w:rFonts w:ascii="Cambria" w:hAnsi="Cambria"/>
          <w:i/>
          <w:sz w:val="24"/>
          <w:szCs w:val="24"/>
        </w:rPr>
        <w:t xml:space="preserve"> </w:t>
      </w:r>
    </w:p>
    <w:p w:rsidR="00D006C8" w:rsidRDefault="00D006C8" w:rsidP="00C21803">
      <w:pPr>
        <w:spacing w:line="276" w:lineRule="auto"/>
        <w:jc w:val="both"/>
        <w:rPr>
          <w:rFonts w:ascii="Cambria" w:hAnsi="Cambria"/>
          <w:i/>
          <w:sz w:val="24"/>
          <w:szCs w:val="24"/>
        </w:rPr>
      </w:pPr>
    </w:p>
    <w:p w:rsidR="00C21803" w:rsidRDefault="00C21803" w:rsidP="00C21803">
      <w:pPr>
        <w:spacing w:line="276" w:lineRule="auto"/>
        <w:jc w:val="both"/>
        <w:rPr>
          <w:rFonts w:ascii="Cambria" w:hAnsi="Cambria"/>
          <w:i/>
          <w:sz w:val="24"/>
          <w:szCs w:val="24"/>
        </w:rPr>
      </w:pPr>
    </w:p>
    <w:p w:rsidR="00C21803" w:rsidRDefault="00C21803" w:rsidP="00C21803">
      <w:pPr>
        <w:spacing w:line="276" w:lineRule="auto"/>
        <w:jc w:val="both"/>
        <w:rPr>
          <w:rFonts w:ascii="Cambria" w:hAnsi="Cambria"/>
          <w:i/>
          <w:sz w:val="24"/>
          <w:szCs w:val="24"/>
        </w:rPr>
      </w:pPr>
    </w:p>
    <w:p w:rsidR="00C21803" w:rsidRDefault="00C21803" w:rsidP="00C21803">
      <w:pPr>
        <w:spacing w:line="276" w:lineRule="auto"/>
        <w:jc w:val="both"/>
        <w:rPr>
          <w:rFonts w:ascii="Cambria" w:hAnsi="Cambria"/>
          <w:i/>
          <w:sz w:val="24"/>
          <w:szCs w:val="24"/>
        </w:rPr>
      </w:pPr>
    </w:p>
    <w:p w:rsidR="00C21803" w:rsidRDefault="00C21803" w:rsidP="00C21803">
      <w:pPr>
        <w:spacing w:line="276" w:lineRule="auto"/>
        <w:jc w:val="both"/>
        <w:rPr>
          <w:rFonts w:ascii="Cambria" w:hAnsi="Cambria"/>
          <w:i/>
          <w:sz w:val="24"/>
          <w:szCs w:val="24"/>
        </w:rPr>
      </w:pPr>
    </w:p>
    <w:p w:rsidR="00C21803" w:rsidRDefault="00C21803" w:rsidP="00C21803">
      <w:pPr>
        <w:spacing w:line="276" w:lineRule="auto"/>
        <w:jc w:val="both"/>
        <w:rPr>
          <w:rFonts w:ascii="Cambria" w:hAnsi="Cambria"/>
          <w:i/>
          <w:sz w:val="24"/>
          <w:szCs w:val="24"/>
        </w:rPr>
      </w:pPr>
    </w:p>
    <w:p w:rsidR="00C21803" w:rsidRDefault="00C21803" w:rsidP="00C21803">
      <w:pPr>
        <w:spacing w:line="276" w:lineRule="auto"/>
        <w:jc w:val="both"/>
        <w:rPr>
          <w:rFonts w:ascii="Cambria" w:hAnsi="Cambria"/>
          <w:i/>
          <w:sz w:val="24"/>
          <w:szCs w:val="24"/>
        </w:rPr>
      </w:pPr>
    </w:p>
    <w:p w:rsidR="00C21803" w:rsidRDefault="00C21803" w:rsidP="00C21803">
      <w:pPr>
        <w:spacing w:line="276" w:lineRule="auto"/>
        <w:jc w:val="both"/>
        <w:rPr>
          <w:rFonts w:ascii="Cambria" w:hAnsi="Cambria"/>
          <w:i/>
          <w:sz w:val="24"/>
          <w:szCs w:val="24"/>
        </w:rPr>
      </w:pPr>
    </w:p>
    <w:p w:rsidR="00C21803" w:rsidRDefault="00C21803" w:rsidP="00C21803">
      <w:pPr>
        <w:spacing w:after="0"/>
        <w:rPr>
          <w:rFonts w:ascii="Cambria" w:eastAsia="Calibri" w:hAnsi="Cambria" w:cs="Times New Roman"/>
          <w:sz w:val="23"/>
          <w:szCs w:val="23"/>
        </w:rPr>
      </w:pPr>
    </w:p>
    <w:p w:rsidR="00C21803" w:rsidRDefault="00C21803" w:rsidP="00C21803">
      <w:pPr>
        <w:spacing w:after="0"/>
        <w:rPr>
          <w:rFonts w:ascii="Cambria" w:eastAsia="Calibri" w:hAnsi="Cambria" w:cs="Times New Roman"/>
          <w:sz w:val="23"/>
          <w:szCs w:val="23"/>
        </w:rPr>
      </w:pPr>
    </w:p>
    <w:sectPr w:rsidR="00C21803" w:rsidSect="00900C12">
      <w:footerReference w:type="default" r:id="rId9"/>
      <w:headerReference w:type="first" r:id="rId10"/>
      <w:pgSz w:w="12240" w:h="15840"/>
      <w:pgMar w:top="994" w:right="1152" w:bottom="0" w:left="1152"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015" w:rsidRDefault="00813015" w:rsidP="00DC1507">
      <w:pPr>
        <w:spacing w:after="0" w:line="240" w:lineRule="auto"/>
      </w:pPr>
      <w:r>
        <w:separator/>
      </w:r>
    </w:p>
  </w:endnote>
  <w:endnote w:type="continuationSeparator" w:id="0">
    <w:p w:rsidR="00813015" w:rsidRDefault="00813015" w:rsidP="00DC1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us">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18"/>
        <w:szCs w:val="18"/>
      </w:rPr>
      <w:id w:val="-1280263070"/>
      <w:docPartObj>
        <w:docPartGallery w:val="Page Numbers (Bottom of Page)"/>
        <w:docPartUnique/>
      </w:docPartObj>
    </w:sdtPr>
    <w:sdtEndPr>
      <w:rPr>
        <w:color w:val="7F7F7F" w:themeColor="background1" w:themeShade="7F"/>
        <w:spacing w:val="60"/>
      </w:rPr>
    </w:sdtEndPr>
    <w:sdtContent>
      <w:p w:rsidR="006E2F26" w:rsidRPr="006E2F26" w:rsidRDefault="00813015">
        <w:pPr>
          <w:pStyle w:val="Footer"/>
          <w:pBdr>
            <w:top w:val="single" w:sz="4" w:space="1" w:color="D9D9D9" w:themeColor="background1" w:themeShade="D9"/>
          </w:pBdr>
          <w:jc w:val="right"/>
          <w:rPr>
            <w:i/>
            <w:sz w:val="18"/>
            <w:szCs w:val="18"/>
          </w:rPr>
        </w:pPr>
        <w:r w:rsidRPr="006E2F26">
          <w:rPr>
            <w:i/>
            <w:sz w:val="18"/>
            <w:szCs w:val="18"/>
          </w:rPr>
          <w:fldChar w:fldCharType="begin"/>
        </w:r>
        <w:r w:rsidRPr="006E2F26">
          <w:rPr>
            <w:i/>
            <w:sz w:val="18"/>
            <w:szCs w:val="18"/>
          </w:rPr>
          <w:instrText xml:space="preserve"> PAGE   \* MERGEFORMAT </w:instrText>
        </w:r>
        <w:r w:rsidRPr="006E2F26">
          <w:rPr>
            <w:i/>
            <w:sz w:val="18"/>
            <w:szCs w:val="18"/>
          </w:rPr>
          <w:fldChar w:fldCharType="separate"/>
        </w:r>
        <w:r w:rsidR="00D006C8">
          <w:rPr>
            <w:i/>
            <w:noProof/>
            <w:sz w:val="18"/>
            <w:szCs w:val="18"/>
          </w:rPr>
          <w:t>2</w:t>
        </w:r>
        <w:r w:rsidRPr="006E2F26">
          <w:rPr>
            <w:i/>
            <w:noProof/>
            <w:sz w:val="18"/>
            <w:szCs w:val="18"/>
          </w:rPr>
          <w:fldChar w:fldCharType="end"/>
        </w:r>
        <w:r w:rsidRPr="006E2F26">
          <w:rPr>
            <w:i/>
            <w:sz w:val="18"/>
            <w:szCs w:val="18"/>
          </w:rPr>
          <w:t xml:space="preserve"> | </w:t>
        </w:r>
        <w:r w:rsidRPr="006E2F26">
          <w:rPr>
            <w:i/>
            <w:color w:val="7F7F7F" w:themeColor="background1" w:themeShade="7F"/>
            <w:spacing w:val="60"/>
            <w:sz w:val="18"/>
            <w:szCs w:val="18"/>
          </w:rPr>
          <w:t>Page</w:t>
        </w:r>
      </w:p>
    </w:sdtContent>
  </w:sdt>
  <w:p w:rsidR="006E2F26" w:rsidRDefault="00813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015" w:rsidRDefault="00813015" w:rsidP="00DC1507">
      <w:pPr>
        <w:spacing w:after="0" w:line="240" w:lineRule="auto"/>
      </w:pPr>
      <w:r>
        <w:separator/>
      </w:r>
    </w:p>
  </w:footnote>
  <w:footnote w:type="continuationSeparator" w:id="0">
    <w:p w:rsidR="00813015" w:rsidRDefault="00813015" w:rsidP="00DC1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F26" w:rsidRDefault="00813015" w:rsidP="006E2F26">
    <w:pPr>
      <w:jc w:val="center"/>
      <w:rPr>
        <w:rFonts w:ascii="Arial" w:hAnsi="Arial" w:cs="Arial"/>
        <w:b/>
        <w:u w:val="single"/>
        <w:lang w:eastAsia="en-GB"/>
      </w:rPr>
    </w:pPr>
    <w:r>
      <w:rPr>
        <w:rFonts w:ascii="Arial Black" w:hAnsi="Arial Black" w:cs="Arial"/>
        <w:noProof/>
        <w:sz w:val="28"/>
        <w:szCs w:val="28"/>
      </w:rPr>
      <mc:AlternateContent>
        <mc:Choice Requires="wps">
          <w:drawing>
            <wp:anchor distT="4294967295" distB="4294967295" distL="114300" distR="114300" simplePos="0" relativeHeight="251659264" behindDoc="0" locked="0" layoutInCell="1" allowOverlap="1" wp14:anchorId="4B9FFFAE" wp14:editId="542095BE">
              <wp:simplePos x="0" y="0"/>
              <wp:positionH relativeFrom="column">
                <wp:posOffset>-77470</wp:posOffset>
              </wp:positionH>
              <wp:positionV relativeFrom="paragraph">
                <wp:posOffset>806450</wp:posOffset>
              </wp:positionV>
              <wp:extent cx="6591300" cy="0"/>
              <wp:effectExtent l="0" t="1905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1300" cy="0"/>
                      </a:xfrm>
                      <a:prstGeom prst="line">
                        <a:avLst/>
                      </a:prstGeom>
                      <a:noFill/>
                      <a:ln w="381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06EB09B"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pt,63.5pt" to="512.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" strokecolor="windowText" strokeweight="3pt">
              <v:stroke joinstyle="miter"/>
              <o:lock v:ext="edit" shapetype="f"/>
            </v:line>
          </w:pict>
        </mc:Fallback>
      </mc:AlternateContent>
    </w:r>
    <w:r>
      <w:rPr>
        <w:rFonts w:ascii="Andalus" w:hAnsi="Andalus" w:cs="Andalus"/>
        <w:b/>
        <w:noProof/>
      </w:rPr>
      <w:drawing>
        <wp:inline distT="0" distB="0" distL="0" distR="0" wp14:anchorId="011D8A92" wp14:editId="6559AFC5">
          <wp:extent cx="692150" cy="692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92150" cy="692150"/>
                  </a:xfrm>
                  <a:prstGeom prst="rect">
                    <a:avLst/>
                  </a:prstGeom>
                  <a:noFill/>
                  <a:ln>
                    <a:noFill/>
                  </a:ln>
                </pic:spPr>
              </pic:pic>
            </a:graphicData>
          </a:graphic>
        </wp:inline>
      </w:drawing>
    </w:r>
  </w:p>
  <w:p w:rsidR="006E2F26" w:rsidRPr="00F11A04" w:rsidRDefault="00813015" w:rsidP="006E2F26">
    <w:pPr>
      <w:jc w:val="center"/>
      <w:rPr>
        <w:rFonts w:ascii="Arial Black" w:hAnsi="Arial Black" w:cs="Arial"/>
        <w:sz w:val="28"/>
        <w:szCs w:val="28"/>
        <w:lang w:eastAsia="en-GB"/>
      </w:rPr>
    </w:pPr>
    <w:r w:rsidRPr="00F11A04">
      <w:rPr>
        <w:rFonts w:ascii="Arial Black" w:hAnsi="Arial Black" w:cs="Arial"/>
        <w:sz w:val="28"/>
        <w:szCs w:val="28"/>
        <w:lang w:eastAsia="en-GB"/>
      </w:rPr>
      <w:t xml:space="preserve">National Communications Authority </w:t>
    </w:r>
  </w:p>
  <w:p w:rsidR="006E2F26" w:rsidRPr="00D006C8" w:rsidRDefault="00DC1507" w:rsidP="00D006C8">
    <w:pPr>
      <w:pStyle w:val="ListParagraph"/>
      <w:jc w:val="center"/>
      <w:rPr>
        <w:rFonts w:ascii="Arial Black" w:hAnsi="Arial Black" w:cs="Arial"/>
        <w:i/>
        <w:color w:val="A6A6A6" w:themeColor="background1" w:themeShade="A6"/>
        <w:lang w:eastAsia="en-GB"/>
      </w:rPr>
    </w:pPr>
    <w:r w:rsidRPr="00D006C8">
      <w:rPr>
        <w:rFonts w:ascii="Arial Black" w:hAnsi="Arial Black" w:cs="Arial"/>
        <w:i/>
        <w:color w:val="A6A6A6" w:themeColor="background1" w:themeShade="A6"/>
        <w:lang w:eastAsia="en-GB"/>
      </w:rPr>
      <w:t>P</w:t>
    </w:r>
    <w:r w:rsidR="00D006C8">
      <w:rPr>
        <w:rFonts w:ascii="Arial Black" w:hAnsi="Arial Black" w:cs="Arial"/>
        <w:i/>
        <w:color w:val="A6A6A6" w:themeColor="background1" w:themeShade="A6"/>
        <w:lang w:eastAsia="en-GB"/>
      </w:rPr>
      <w:t xml:space="preserve">ress Release </w:t>
    </w:r>
  </w:p>
  <w:p w:rsidR="006E2F26" w:rsidRDefault="00813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80849"/>
    <w:multiLevelType w:val="hybridMultilevel"/>
    <w:tmpl w:val="FC5E6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A6061F"/>
    <w:multiLevelType w:val="hybridMultilevel"/>
    <w:tmpl w:val="1E864690"/>
    <w:lvl w:ilvl="0" w:tplc="D468240A">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874DA6"/>
    <w:multiLevelType w:val="hybridMultilevel"/>
    <w:tmpl w:val="862CDB4A"/>
    <w:lvl w:ilvl="0" w:tplc="564E72CC">
      <w:start w:val="1"/>
      <w:numFmt w:val="bullet"/>
      <w:lvlText w:val="-"/>
      <w:lvlJc w:val="left"/>
      <w:pPr>
        <w:ind w:left="720" w:hanging="360"/>
      </w:pPr>
      <w:rPr>
        <w:rFonts w:ascii="Arial Black" w:eastAsiaTheme="minorHAnsi" w:hAnsi="Arial Blac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803"/>
    <w:rsid w:val="00404762"/>
    <w:rsid w:val="00494E37"/>
    <w:rsid w:val="004C23B8"/>
    <w:rsid w:val="00547EC2"/>
    <w:rsid w:val="0069123F"/>
    <w:rsid w:val="00813015"/>
    <w:rsid w:val="00897AF1"/>
    <w:rsid w:val="008B2236"/>
    <w:rsid w:val="008F3F72"/>
    <w:rsid w:val="00A0787F"/>
    <w:rsid w:val="00B374E2"/>
    <w:rsid w:val="00C21803"/>
    <w:rsid w:val="00D006C8"/>
    <w:rsid w:val="00D12E45"/>
    <w:rsid w:val="00D56E0D"/>
    <w:rsid w:val="00DC1507"/>
    <w:rsid w:val="00E204CD"/>
    <w:rsid w:val="00F53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8E0C2"/>
  <w15:chartTrackingRefBased/>
  <w15:docId w15:val="{898C8E37-F62E-47D4-ACCA-92226FDC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8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803"/>
    <w:rPr>
      <w:color w:val="0563C1" w:themeColor="hyperlink"/>
      <w:u w:val="single"/>
    </w:rPr>
  </w:style>
  <w:style w:type="paragraph" w:styleId="Header">
    <w:name w:val="header"/>
    <w:basedOn w:val="Normal"/>
    <w:link w:val="HeaderChar"/>
    <w:uiPriority w:val="99"/>
    <w:unhideWhenUsed/>
    <w:rsid w:val="00C218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803"/>
  </w:style>
  <w:style w:type="paragraph" w:styleId="Footer">
    <w:name w:val="footer"/>
    <w:basedOn w:val="Normal"/>
    <w:link w:val="FooterChar"/>
    <w:uiPriority w:val="99"/>
    <w:unhideWhenUsed/>
    <w:rsid w:val="00C218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803"/>
  </w:style>
  <w:style w:type="paragraph" w:styleId="ListParagraph">
    <w:name w:val="List Paragraph"/>
    <w:basedOn w:val="Normal"/>
    <w:uiPriority w:val="34"/>
    <w:qFormat/>
    <w:rsid w:val="00404762"/>
    <w:pPr>
      <w:ind w:left="720"/>
      <w:contextualSpacing/>
    </w:pPr>
  </w:style>
  <w:style w:type="paragraph" w:styleId="BalloonText">
    <w:name w:val="Balloon Text"/>
    <w:basedOn w:val="Normal"/>
    <w:link w:val="BalloonTextChar"/>
    <w:uiPriority w:val="99"/>
    <w:semiHidden/>
    <w:unhideWhenUsed/>
    <w:rsid w:val="00D006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6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Kwame Gyan</dc:creator>
  <cp:keywords/>
  <dc:description/>
  <cp:lastModifiedBy>Kwame Gyan</cp:lastModifiedBy>
  <cp:revision>2</cp:revision>
  <cp:lastPrinted>2023-06-19T15:13:00Z</cp:lastPrinted>
  <dcterms:created xsi:type="dcterms:W3CDTF">2023-06-19T12:24:00Z</dcterms:created>
  <dcterms:modified xsi:type="dcterms:W3CDTF">2023-06-19T15:30:00Z</dcterms:modified>
</cp:coreProperties>
</file>